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gif" ContentType="image/gif"/>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7945" w:rsidRDefault="00DF7945" w:rsidP="00DF7945">
      <w:pPr>
        <w:rPr>
          <w:b/>
        </w:rPr>
      </w:pPr>
      <w:r>
        <w:rPr>
          <w:b/>
        </w:rPr>
        <w:t xml:space="preserve">Terms you need to know for the final from the Gillberg, et al. 2007 paper. </w:t>
      </w:r>
    </w:p>
    <w:p w:rsidR="00DF7945" w:rsidRDefault="00DF7945">
      <w:pPr>
        <w:autoSpaceDE w:val="0"/>
        <w:rPr>
          <w:b/>
        </w:rPr>
      </w:pPr>
    </w:p>
    <w:p w:rsidR="00DB582E" w:rsidRPr="007F7BD2" w:rsidRDefault="00DB582E">
      <w:pPr>
        <w:autoSpaceDE w:val="0"/>
        <w:rPr>
          <w:b/>
        </w:rPr>
      </w:pPr>
      <w:bookmarkStart w:id="0" w:name="_GoBack"/>
      <w:bookmarkEnd w:id="0"/>
    </w:p>
    <w:p w:rsidR="00DF7945" w:rsidRDefault="00DF7945" w:rsidP="002702BE">
      <w:pPr>
        <w:autoSpaceDE w:val="0"/>
      </w:pPr>
      <w:r w:rsidRPr="007F7BD2">
        <w:rPr>
          <w:b/>
        </w:rPr>
        <w:t>BORB test</w:t>
      </w:r>
      <w:r>
        <w:t>: an object recognition test that has many subtests—the one used in this paper  asks</w:t>
      </w:r>
      <w:r w:rsidR="007C5847">
        <w:t xml:space="preserve"> that subject</w:t>
      </w:r>
      <w:r w:rsidR="00D66A5E">
        <w:t xml:space="preserve"> </w:t>
      </w:r>
      <w:r>
        <w:t>match objects that are shown in different perspectives.</w:t>
      </w:r>
    </w:p>
    <w:p w:rsidR="00DF7945" w:rsidRDefault="00DF7945">
      <w:pPr>
        <w:autoSpaceDE w:val="0"/>
        <w:rPr>
          <w:b/>
        </w:rPr>
      </w:pPr>
    </w:p>
    <w:p w:rsidR="00DF7945" w:rsidRPr="007C5847" w:rsidRDefault="00DF7945">
      <w:pPr>
        <w:autoSpaceDE w:val="0"/>
      </w:pPr>
      <w:r>
        <w:rPr>
          <w:b/>
        </w:rPr>
        <w:t xml:space="preserve">Central coherence </w:t>
      </w:r>
      <w:r w:rsidR="007C5847">
        <w:t>is a fancy term for the ability to "see the big picture", an ability lacking in those with ASD.</w:t>
      </w:r>
    </w:p>
    <w:p w:rsidR="00DF7945" w:rsidRDefault="00DF7945">
      <w:pPr>
        <w:autoSpaceDE w:val="0"/>
        <w:rPr>
          <w:b/>
        </w:rPr>
      </w:pPr>
    </w:p>
    <w:p w:rsidR="00DB582E" w:rsidRPr="00F86BD1" w:rsidRDefault="00DB582E" w:rsidP="00DB582E">
      <w:pPr>
        <w:autoSpaceDE w:val="0"/>
      </w:pPr>
      <w:r>
        <w:rPr>
          <w:b/>
        </w:rPr>
        <w:t xml:space="preserve">Coding subscale of WAIS-R: </w:t>
      </w:r>
      <w:r>
        <w:t xml:space="preserve">This is a test on the WAIS in which subjects are trained to learn the pairing of digits with symbols; subjects are then shown the digit, and they have to pick the symbol (the test is referred to as the Digital Coding Test, and your paper refers to it simply as the “coding subscale.)” </w:t>
      </w:r>
    </w:p>
    <w:p w:rsidR="00DB582E" w:rsidRDefault="00DB582E">
      <w:pPr>
        <w:autoSpaceDE w:val="0"/>
        <w:rPr>
          <w:b/>
        </w:rPr>
      </w:pPr>
    </w:p>
    <w:p w:rsidR="00DF7945" w:rsidRDefault="00DF7945">
      <w:pPr>
        <w:autoSpaceDE w:val="0"/>
        <w:rPr>
          <w:b/>
        </w:rPr>
      </w:pPr>
      <w:r>
        <w:rPr>
          <w:b/>
        </w:rPr>
        <w:t>Community based sample</w:t>
      </w:r>
      <w:r w:rsidR="007C5847">
        <w:rPr>
          <w:b/>
        </w:rPr>
        <w:t xml:space="preserve"> </w:t>
      </w:r>
      <w:r w:rsidR="007C5847" w:rsidRPr="007C5847">
        <w:t>means that the subjects are solicited from the community rather than an in- or out-patient unit of a hospital or clinic.</w:t>
      </w:r>
      <w:r w:rsidR="007C5847">
        <w:rPr>
          <w:b/>
        </w:rPr>
        <w:t xml:space="preserve"> </w:t>
      </w:r>
    </w:p>
    <w:p w:rsidR="00DF7945" w:rsidRDefault="00DF7945">
      <w:pPr>
        <w:autoSpaceDE w:val="0"/>
        <w:rPr>
          <w:b/>
        </w:rPr>
      </w:pPr>
    </w:p>
    <w:p w:rsidR="00DF7945" w:rsidRPr="00880001" w:rsidRDefault="00DF7945">
      <w:pPr>
        <w:autoSpaceDE w:val="0"/>
      </w:pPr>
      <w:r w:rsidRPr="007F7BD2">
        <w:rPr>
          <w:b/>
        </w:rPr>
        <w:t>Confidence Interval</w:t>
      </w:r>
      <w:r>
        <w:t xml:space="preserve"> (CI): Confidence Interval is a criterion set by the experimenters, and when it is set high one can be very sure of the sampling method. When they say in the paper</w:t>
      </w:r>
      <w:r w:rsidR="00D66A5E">
        <w:t xml:space="preserve"> that their CI was 95%</w:t>
      </w:r>
      <w:r>
        <w:t xml:space="preserve">, that represents a high criterion. In this paper the CI is used to estimate the range of ages, weights etc. of the subjects. </w:t>
      </w:r>
    </w:p>
    <w:p w:rsidR="00DF7945" w:rsidRDefault="00DF7945">
      <w:pPr>
        <w:autoSpaceDE w:val="0"/>
        <w:rPr>
          <w:b/>
        </w:rPr>
      </w:pPr>
    </w:p>
    <w:p w:rsidR="00DF7945" w:rsidRDefault="00DF7945">
      <w:pPr>
        <w:autoSpaceDE w:val="0"/>
      </w:pPr>
      <w:r w:rsidRPr="007F7BD2">
        <w:rPr>
          <w:b/>
        </w:rPr>
        <w:t>GAF</w:t>
      </w:r>
      <w:r>
        <w:t xml:space="preserve">: Global Assessment Functioning is the Axis V scale of the DSM; it is the assessment of a patient’s ability to function in daily life. </w:t>
      </w:r>
    </w:p>
    <w:p w:rsidR="00DF7945" w:rsidRDefault="00DF7945"/>
    <w:p w:rsidR="00DF7945" w:rsidRDefault="00DF7945">
      <w:r w:rsidRPr="00DF7945">
        <w:rPr>
          <w:b/>
        </w:rPr>
        <w:t>Neuropsychological Deficits</w:t>
      </w:r>
      <w:r>
        <w:t xml:space="preserve">: deficits in cognition as </w:t>
      </w:r>
      <w:r w:rsidR="003D230A">
        <w:t>measured</w:t>
      </w:r>
      <w:r>
        <w:t xml:space="preserve"> </w:t>
      </w:r>
      <w:r w:rsidR="005E0C97">
        <w:t>by the tests used in this paper</w:t>
      </w:r>
      <w:r>
        <w:t>.</w:t>
      </w:r>
    </w:p>
    <w:p w:rsidR="00DF7945" w:rsidRDefault="00DF7945"/>
    <w:p w:rsidR="002B4BFE" w:rsidRPr="00880001" w:rsidRDefault="00DF7945" w:rsidP="00880001">
      <w:pPr>
        <w:autoSpaceDE w:val="0"/>
      </w:pPr>
      <w:r w:rsidRPr="007F7BD2">
        <w:rPr>
          <w:b/>
        </w:rPr>
        <w:t>Orbito</w:t>
      </w:r>
      <w:r w:rsidR="00D66A5E">
        <w:rPr>
          <w:b/>
        </w:rPr>
        <w:t>-</w:t>
      </w:r>
      <w:r w:rsidRPr="007F7BD2">
        <w:rPr>
          <w:b/>
        </w:rPr>
        <w:t>frontal region</w:t>
      </w:r>
      <w:r w:rsidRPr="00A13432">
        <w:t xml:space="preserve"> </w:t>
      </w:r>
      <w:r w:rsidRPr="007F7BD2">
        <w:t xml:space="preserve">is </w:t>
      </w:r>
      <w:r w:rsidRPr="003D230A">
        <w:t>an area in the</w:t>
      </w:r>
      <w:r w:rsidRPr="003D230A">
        <w:rPr>
          <w:rFonts w:cs="Helvetica"/>
          <w:szCs w:val="26"/>
          <w:lang w:eastAsia="en-US"/>
        </w:rPr>
        <w:t xml:space="preserve"> </w:t>
      </w:r>
      <w:hyperlink r:id="rId5" w:history="1">
        <w:r w:rsidRPr="003D230A">
          <w:rPr>
            <w:rFonts w:cs="Helvetica"/>
            <w:szCs w:val="26"/>
            <w:lang w:eastAsia="en-US"/>
          </w:rPr>
          <w:t>prefrontal cortex</w:t>
        </w:r>
      </w:hyperlink>
      <w:r w:rsidRPr="003D230A">
        <w:rPr>
          <w:rFonts w:cs="Helvetica"/>
          <w:szCs w:val="26"/>
          <w:lang w:eastAsia="en-US"/>
        </w:rPr>
        <w:t xml:space="preserve"> (which is in the </w:t>
      </w:r>
      <w:hyperlink r:id="rId6" w:history="1">
        <w:r w:rsidRPr="003D230A">
          <w:rPr>
            <w:rFonts w:cs="Helvetica"/>
            <w:szCs w:val="26"/>
            <w:lang w:eastAsia="en-US"/>
          </w:rPr>
          <w:t>frontal lobes</w:t>
        </w:r>
      </w:hyperlink>
      <w:r w:rsidRPr="003D230A">
        <w:rPr>
          <w:rFonts w:cs="Helvetica"/>
          <w:szCs w:val="26"/>
          <w:lang w:eastAsia="en-US"/>
        </w:rPr>
        <w:t xml:space="preserve"> of the </w:t>
      </w:r>
      <w:hyperlink r:id="rId7" w:history="1">
        <w:r w:rsidRPr="003D230A">
          <w:rPr>
            <w:rFonts w:cs="Helvetica"/>
            <w:szCs w:val="26"/>
            <w:lang w:eastAsia="en-US"/>
          </w:rPr>
          <w:t>brain</w:t>
        </w:r>
      </w:hyperlink>
      <w:r w:rsidRPr="003D230A">
        <w:rPr>
          <w:rFonts w:cs="Helvetica"/>
          <w:szCs w:val="26"/>
          <w:lang w:eastAsia="en-US"/>
        </w:rPr>
        <w:t xml:space="preserve"> ). It is involved in the </w:t>
      </w:r>
      <w:hyperlink r:id="rId8" w:history="1">
        <w:r w:rsidRPr="003D230A">
          <w:rPr>
            <w:rFonts w:cs="Helvetica"/>
            <w:szCs w:val="26"/>
            <w:lang w:eastAsia="en-US"/>
          </w:rPr>
          <w:t>cognitive</w:t>
        </w:r>
      </w:hyperlink>
      <w:r w:rsidRPr="003D230A">
        <w:rPr>
          <w:rFonts w:cs="Helvetica"/>
          <w:szCs w:val="26"/>
          <w:lang w:eastAsia="en-US"/>
        </w:rPr>
        <w:t xml:space="preserve"> processing of </w:t>
      </w:r>
      <w:hyperlink r:id="rId9" w:history="1">
        <w:r w:rsidRPr="003D230A">
          <w:rPr>
            <w:rFonts w:cs="Helvetica"/>
            <w:szCs w:val="26"/>
            <w:lang w:eastAsia="en-US"/>
          </w:rPr>
          <w:t>decision-making</w:t>
        </w:r>
      </w:hyperlink>
      <w:r w:rsidRPr="003D230A">
        <w:rPr>
          <w:rFonts w:cs="Helvetica"/>
          <w:szCs w:val="26"/>
          <w:lang w:eastAsia="en-US"/>
        </w:rPr>
        <w:t>.</w:t>
      </w:r>
    </w:p>
    <w:p w:rsidR="002B4BFE" w:rsidRDefault="002B4BFE" w:rsidP="002B4BFE">
      <w:pPr>
        <w:rPr>
          <w:b/>
        </w:rPr>
      </w:pPr>
    </w:p>
    <w:p w:rsidR="002B4BFE" w:rsidRPr="00880001" w:rsidRDefault="002B4BFE" w:rsidP="002B4BFE">
      <w:r>
        <w:rPr>
          <w:b/>
        </w:rPr>
        <w:t xml:space="preserve">Prospective study </w:t>
      </w:r>
      <w:r>
        <w:t xml:space="preserve">is one in which subjects are identified and then studied over time. </w:t>
      </w:r>
    </w:p>
    <w:p w:rsidR="002B4BFE" w:rsidRDefault="002B4BFE" w:rsidP="002B4BFE">
      <w:pPr>
        <w:rPr>
          <w:b/>
        </w:rPr>
      </w:pPr>
    </w:p>
    <w:p w:rsidR="00DF7945" w:rsidRPr="00880001" w:rsidRDefault="00DF7945" w:rsidP="00880001">
      <w:r w:rsidRPr="007F7BD2">
        <w:rPr>
          <w:b/>
        </w:rPr>
        <w:t>Reified</w:t>
      </w:r>
      <w:r>
        <w:t xml:space="preserve">: the term on page 176 </w:t>
      </w:r>
      <w:r w:rsidR="003D230A">
        <w:t xml:space="preserve">means to give credence to, or </w:t>
      </w:r>
      <w:r>
        <w:t>to regard as a concrete concep</w:t>
      </w:r>
      <w:r w:rsidR="002B4BFE">
        <w:t xml:space="preserve">t. </w:t>
      </w:r>
      <w:r w:rsidR="003774E9">
        <w:rPr>
          <w:noProof/>
          <w:lang w:eastAsia="en-US"/>
        </w:rPr>
        <w:drawing>
          <wp:inline distT="0" distB="0" distL="0" distR="0">
            <wp:extent cx="50800" cy="10160"/>
            <wp:effectExtent l="0" t="0" r="0" b="0"/>
            <wp:docPr id="1" name="Picture 1" descr="http://images.medicinenet.com/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edicinenet.com/images/clearpixel.gif"/>
                    <pic:cNvPicPr>
                      <a:picLocks noChangeAspect="1" noChangeArrowheads="1"/>
                    </pic:cNvPicPr>
                  </pic:nvPicPr>
                  <pic:blipFill>
                    <a:blip r:embed="rId10"/>
                    <a:srcRect/>
                    <a:stretch>
                      <a:fillRect/>
                    </a:stretch>
                  </pic:blipFill>
                  <pic:spPr bwMode="auto">
                    <a:xfrm>
                      <a:off x="0" y="0"/>
                      <a:ext cx="50800" cy="10160"/>
                    </a:xfrm>
                    <a:prstGeom prst="rect">
                      <a:avLst/>
                    </a:prstGeom>
                    <a:noFill/>
                    <a:ln w="9525">
                      <a:noFill/>
                      <a:miter lim="800000"/>
                      <a:headEnd/>
                      <a:tailEnd/>
                    </a:ln>
                  </pic:spPr>
                </pic:pic>
              </a:graphicData>
            </a:graphic>
          </wp:inline>
        </w:drawing>
      </w:r>
      <w:bookmarkStart w:id="1" w:name="TopOfContent"/>
      <w:bookmarkEnd w:id="1"/>
    </w:p>
    <w:p w:rsidR="00DF7945" w:rsidRDefault="00DF7945" w:rsidP="00DF7945">
      <w:pPr>
        <w:autoSpaceDE w:val="0"/>
        <w:rPr>
          <w:b/>
        </w:rPr>
      </w:pPr>
    </w:p>
    <w:p w:rsidR="00DF7945" w:rsidRDefault="00DF7945" w:rsidP="00DF7945">
      <w:pPr>
        <w:autoSpaceDE w:val="0"/>
      </w:pPr>
      <w:r w:rsidRPr="007F7BD2">
        <w:rPr>
          <w:b/>
        </w:rPr>
        <w:t>SCID I and II</w:t>
      </w:r>
      <w:r>
        <w:t xml:space="preserve">: The SCID is a structured questionnaire used for diagnosing individuals. The questions come directly from the DSM, so it’s a way for clinicians to easily use the DSM criteria in a questionnaire. </w:t>
      </w:r>
      <w:r w:rsidR="00D66A5E">
        <w:t xml:space="preserve"> SCID I measured Axis I disorders, SCID II measures Axis II disorders (which we are not interested in for the purposes of this paper). </w:t>
      </w:r>
    </w:p>
    <w:p w:rsidR="00DF7945" w:rsidRDefault="00DF7945" w:rsidP="00DF7945">
      <w:pPr>
        <w:autoSpaceDE w:val="0"/>
      </w:pPr>
    </w:p>
    <w:p w:rsidR="007C5847" w:rsidRPr="00880001" w:rsidRDefault="00DF7945" w:rsidP="00DF7945">
      <w:pPr>
        <w:autoSpaceDE w:val="0"/>
      </w:pPr>
      <w:r w:rsidRPr="007F7BD2">
        <w:rPr>
          <w:b/>
        </w:rPr>
        <w:t>Set shifting tasks:</w:t>
      </w:r>
      <w:r>
        <w:t xml:space="preserve"> these are tasks used to measure Executive function whereby the individual has to figure out when the strategy for getting the correct response has changed and has to determine what the new “set” requires (like the WCST)</w:t>
      </w:r>
    </w:p>
    <w:p w:rsidR="007C5847" w:rsidRDefault="007C5847" w:rsidP="00DF7945">
      <w:pPr>
        <w:autoSpaceDE w:val="0"/>
        <w:rPr>
          <w:b/>
        </w:rPr>
      </w:pPr>
    </w:p>
    <w:p w:rsidR="007C5847" w:rsidRPr="00880001" w:rsidRDefault="00DF7945" w:rsidP="00DF7945">
      <w:pPr>
        <w:autoSpaceDE w:val="0"/>
      </w:pPr>
      <w:r w:rsidRPr="007F7BD2">
        <w:rPr>
          <w:b/>
        </w:rPr>
        <w:t>SPECT</w:t>
      </w:r>
      <w:r>
        <w:t xml:space="preserve">: Single photon emission computed tomography, is another kind of nuclear imaging technique, which measures blood flow (which presumably reflects neural activity).  </w:t>
      </w:r>
    </w:p>
    <w:p w:rsidR="007C5847" w:rsidRDefault="007C5847" w:rsidP="00DF7945">
      <w:pPr>
        <w:autoSpaceDE w:val="0"/>
        <w:rPr>
          <w:b/>
        </w:rPr>
      </w:pPr>
    </w:p>
    <w:p w:rsidR="00DF7945" w:rsidRDefault="00DF7945" w:rsidP="00DF7945">
      <w:pPr>
        <w:autoSpaceDE w:val="0"/>
      </w:pPr>
      <w:r>
        <w:rPr>
          <w:b/>
        </w:rPr>
        <w:t xml:space="preserve">WAIS-R </w:t>
      </w:r>
      <w:r>
        <w:t xml:space="preserve">:  Wechsler </w:t>
      </w:r>
      <w:r w:rsidR="00880001">
        <w:t>A</w:t>
      </w:r>
      <w:r>
        <w:t xml:space="preserve">dult Intelligence Scale- Revised, which we reviewed in Chapter 8. There is a Power Point in the Chapter for the </w:t>
      </w:r>
      <w:r w:rsidR="00D66A5E">
        <w:t>WAIS, referred to as “Wechsler</w:t>
      </w:r>
      <w:r w:rsidR="00880001">
        <w:t>,</w:t>
      </w:r>
      <w:r w:rsidR="00D66A5E">
        <w:t>”</w:t>
      </w:r>
      <w:r>
        <w:t xml:space="preserve"> which briefly shows the Object Assembly subtest.</w:t>
      </w:r>
      <w:r w:rsidR="00D66A5E">
        <w:t xml:space="preserve"> The </w:t>
      </w:r>
      <w:r w:rsidR="00D66A5E" w:rsidRPr="00D66A5E">
        <w:rPr>
          <w:b/>
        </w:rPr>
        <w:t>WISC</w:t>
      </w:r>
      <w:r w:rsidR="00D66A5E">
        <w:t xml:space="preserve"> is the WAIS for children. </w:t>
      </w:r>
    </w:p>
    <w:p w:rsidR="00DF7945" w:rsidRDefault="00DF7945">
      <w:pPr>
        <w:autoSpaceDE w:val="0"/>
      </w:pPr>
    </w:p>
    <w:p w:rsidR="00DF7945" w:rsidRDefault="00DF7945">
      <w:pPr>
        <w:rPr>
          <w:b/>
          <w:u w:val="thick"/>
        </w:rPr>
      </w:pPr>
      <w:r>
        <w:rPr>
          <w:b/>
          <w:u w:val="thick"/>
        </w:rPr>
        <w:t>Section on Statistics</w:t>
      </w:r>
    </w:p>
    <w:p w:rsidR="00DF7945" w:rsidRDefault="00DF7945" w:rsidP="00DF7945"/>
    <w:p w:rsidR="00DF7945" w:rsidRDefault="00DF7945" w:rsidP="00DF7945">
      <w:r>
        <w:t>Ignore all the names of statistical tests: Wilcoxon,</w:t>
      </w:r>
      <w:r w:rsidR="003D230A">
        <w:t xml:space="preserve"> </w:t>
      </w:r>
      <w:r>
        <w:t>Mann Whitney, Homls, etc.</w:t>
      </w:r>
    </w:p>
    <w:p w:rsidR="00DF7945" w:rsidRDefault="00DF7945" w:rsidP="00DF7945">
      <w:r>
        <w:t xml:space="preserve"> JUST KNOW that anything lower, or equal to lower than p =.05 is statistically significant; p=.001 is highly significant; whenever you see * it means the data are significant. (Data is the plural, datum, the singular. Remember that forever!)</w:t>
      </w:r>
    </w:p>
    <w:sectPr w:rsidR="00DF7945" w:rsidSect="00A4596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820472C"/>
    <w:multiLevelType w:val="multilevel"/>
    <w:tmpl w:val="AF4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7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rsids>
    <w:rsidRoot w:val="0050318C"/>
    <w:rsid w:val="00021DFE"/>
    <w:rsid w:val="00043046"/>
    <w:rsid w:val="00075788"/>
    <w:rsid w:val="001E1AAA"/>
    <w:rsid w:val="002702BE"/>
    <w:rsid w:val="002B4BFE"/>
    <w:rsid w:val="00337981"/>
    <w:rsid w:val="003774E9"/>
    <w:rsid w:val="003D230A"/>
    <w:rsid w:val="00417E03"/>
    <w:rsid w:val="0050318C"/>
    <w:rsid w:val="005E0C97"/>
    <w:rsid w:val="007C5847"/>
    <w:rsid w:val="007F7BD2"/>
    <w:rsid w:val="00880001"/>
    <w:rsid w:val="00A45960"/>
    <w:rsid w:val="00AD4F57"/>
    <w:rsid w:val="00B447CE"/>
    <w:rsid w:val="00B85A6D"/>
    <w:rsid w:val="00D66A5E"/>
    <w:rsid w:val="00DB582E"/>
    <w:rsid w:val="00DF7945"/>
    <w:rsid w:val="00EC6A6B"/>
  </w:rsids>
  <m:mathPr>
    <m:mathFont m:val="@ＭＳ ゴシック"/>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5960"/>
    <w:pPr>
      <w:suppressAutoHyphens/>
    </w:pPr>
    <w:rPr>
      <w:sz w:val="24"/>
      <w:szCs w:val="24"/>
      <w:lang w:eastAsia="ar-SA"/>
    </w:rPr>
  </w:style>
  <w:style w:type="paragraph" w:styleId="Heading2">
    <w:name w:val="heading 2"/>
    <w:basedOn w:val="Normal"/>
    <w:link w:val="Heading2Char"/>
    <w:uiPriority w:val="9"/>
    <w:qFormat/>
    <w:rsid w:val="002B4BFE"/>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45960"/>
    <w:rPr>
      <w:color w:val="0000FF"/>
      <w:u w:val="single"/>
    </w:rPr>
  </w:style>
  <w:style w:type="character" w:customStyle="1" w:styleId="yshortcutscs4-visible">
    <w:name w:val="yshortcuts cs4-visible"/>
    <w:basedOn w:val="DefaultParagraphFont"/>
    <w:rsid w:val="00A45960"/>
  </w:style>
  <w:style w:type="paragraph" w:customStyle="1" w:styleId="Heading">
    <w:name w:val="Heading"/>
    <w:basedOn w:val="Normal"/>
    <w:next w:val="BodyText"/>
    <w:rsid w:val="00A45960"/>
    <w:pPr>
      <w:keepNext/>
      <w:spacing w:before="240" w:after="120"/>
    </w:pPr>
    <w:rPr>
      <w:rFonts w:ascii="Arial" w:eastAsia="Droid Sans Fallback" w:hAnsi="Arial" w:cs="Lohit Hindi"/>
      <w:sz w:val="28"/>
      <w:szCs w:val="28"/>
    </w:rPr>
  </w:style>
  <w:style w:type="paragraph" w:styleId="BodyText">
    <w:name w:val="Body Text"/>
    <w:basedOn w:val="Normal"/>
    <w:rsid w:val="00A45960"/>
    <w:pPr>
      <w:spacing w:after="120"/>
    </w:pPr>
  </w:style>
  <w:style w:type="paragraph" w:styleId="List">
    <w:name w:val="List"/>
    <w:basedOn w:val="BodyText"/>
    <w:rsid w:val="00A45960"/>
    <w:rPr>
      <w:rFonts w:cs="Lohit Hindi"/>
    </w:rPr>
  </w:style>
  <w:style w:type="paragraph" w:styleId="Caption">
    <w:name w:val="caption"/>
    <w:basedOn w:val="Normal"/>
    <w:qFormat/>
    <w:rsid w:val="00A45960"/>
    <w:pPr>
      <w:suppressLineNumbers/>
      <w:spacing w:before="120" w:after="120"/>
    </w:pPr>
    <w:rPr>
      <w:rFonts w:cs="Lohit Hindi"/>
      <w:i/>
      <w:iCs/>
    </w:rPr>
  </w:style>
  <w:style w:type="paragraph" w:customStyle="1" w:styleId="Index">
    <w:name w:val="Index"/>
    <w:basedOn w:val="Normal"/>
    <w:rsid w:val="00A45960"/>
    <w:pPr>
      <w:suppressLineNumbers/>
    </w:pPr>
    <w:rPr>
      <w:rFonts w:cs="Lohit Hindi"/>
    </w:rPr>
  </w:style>
  <w:style w:type="character" w:customStyle="1" w:styleId="Heading2Char">
    <w:name w:val="Heading 2 Char"/>
    <w:basedOn w:val="DefaultParagraphFont"/>
    <w:link w:val="Heading2"/>
    <w:uiPriority w:val="9"/>
    <w:rsid w:val="002B4BFE"/>
    <w:rPr>
      <w:b/>
      <w:bCs/>
      <w:sz w:val="36"/>
      <w:szCs w:val="36"/>
    </w:rPr>
  </w:style>
  <w:style w:type="paragraph" w:styleId="NormalWeb">
    <w:name w:val="Normal (Web)"/>
    <w:basedOn w:val="Normal"/>
    <w:uiPriority w:val="99"/>
    <w:unhideWhenUsed/>
    <w:rsid w:val="002B4BFE"/>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DB582E"/>
    <w:rPr>
      <w:rFonts w:ascii="Tahoma" w:hAnsi="Tahoma" w:cs="Tahoma"/>
      <w:sz w:val="16"/>
      <w:szCs w:val="16"/>
    </w:rPr>
  </w:style>
  <w:style w:type="character" w:customStyle="1" w:styleId="BalloonTextChar">
    <w:name w:val="Balloon Text Char"/>
    <w:basedOn w:val="DefaultParagraphFont"/>
    <w:link w:val="BalloonText"/>
    <w:uiPriority w:val="99"/>
    <w:semiHidden/>
    <w:rsid w:val="00DB582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5960"/>
    <w:pPr>
      <w:suppressAutoHyphens/>
    </w:pPr>
    <w:rPr>
      <w:sz w:val="24"/>
      <w:szCs w:val="24"/>
      <w:lang w:eastAsia="ar-SA"/>
    </w:rPr>
  </w:style>
  <w:style w:type="paragraph" w:styleId="Heading2">
    <w:name w:val="heading 2"/>
    <w:basedOn w:val="Normal"/>
    <w:link w:val="Heading2Char"/>
    <w:uiPriority w:val="9"/>
    <w:qFormat/>
    <w:rsid w:val="002B4BFE"/>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960"/>
    <w:rPr>
      <w:color w:val="0000FF"/>
      <w:u w:val="single"/>
    </w:rPr>
  </w:style>
  <w:style w:type="character" w:customStyle="1" w:styleId="yshortcutscs4-visible">
    <w:name w:val="yshortcuts cs4-visible"/>
    <w:basedOn w:val="DefaultParagraphFont"/>
    <w:rsid w:val="00A45960"/>
  </w:style>
  <w:style w:type="paragraph" w:customStyle="1" w:styleId="Heading">
    <w:name w:val="Heading"/>
    <w:basedOn w:val="Normal"/>
    <w:next w:val="BodyText"/>
    <w:rsid w:val="00A45960"/>
    <w:pPr>
      <w:keepNext/>
      <w:spacing w:before="240" w:after="120"/>
    </w:pPr>
    <w:rPr>
      <w:rFonts w:ascii="Arial" w:eastAsia="Droid Sans Fallback" w:hAnsi="Arial" w:cs="Lohit Hindi"/>
      <w:sz w:val="28"/>
      <w:szCs w:val="28"/>
    </w:rPr>
  </w:style>
  <w:style w:type="paragraph" w:styleId="BodyText">
    <w:name w:val="Body Text"/>
    <w:basedOn w:val="Normal"/>
    <w:rsid w:val="00A45960"/>
    <w:pPr>
      <w:spacing w:after="120"/>
    </w:pPr>
  </w:style>
  <w:style w:type="paragraph" w:styleId="List">
    <w:name w:val="List"/>
    <w:basedOn w:val="BodyText"/>
    <w:rsid w:val="00A45960"/>
    <w:rPr>
      <w:rFonts w:cs="Lohit Hindi"/>
    </w:rPr>
  </w:style>
  <w:style w:type="paragraph" w:styleId="Caption">
    <w:name w:val="caption"/>
    <w:basedOn w:val="Normal"/>
    <w:qFormat/>
    <w:rsid w:val="00A45960"/>
    <w:pPr>
      <w:suppressLineNumbers/>
      <w:spacing w:before="120" w:after="120"/>
    </w:pPr>
    <w:rPr>
      <w:rFonts w:cs="Lohit Hindi"/>
      <w:i/>
      <w:iCs/>
    </w:rPr>
  </w:style>
  <w:style w:type="paragraph" w:customStyle="1" w:styleId="Index">
    <w:name w:val="Index"/>
    <w:basedOn w:val="Normal"/>
    <w:rsid w:val="00A45960"/>
    <w:pPr>
      <w:suppressLineNumbers/>
    </w:pPr>
    <w:rPr>
      <w:rFonts w:cs="Lohit Hindi"/>
    </w:rPr>
  </w:style>
  <w:style w:type="character" w:customStyle="1" w:styleId="Heading2Char">
    <w:name w:val="Heading 2 Char"/>
    <w:basedOn w:val="DefaultParagraphFont"/>
    <w:link w:val="Heading2"/>
    <w:uiPriority w:val="9"/>
    <w:rsid w:val="002B4BFE"/>
    <w:rPr>
      <w:b/>
      <w:bCs/>
      <w:sz w:val="36"/>
      <w:szCs w:val="36"/>
    </w:rPr>
  </w:style>
  <w:style w:type="paragraph" w:styleId="NormalWeb">
    <w:name w:val="Normal (Web)"/>
    <w:basedOn w:val="Normal"/>
    <w:uiPriority w:val="99"/>
    <w:unhideWhenUsed/>
    <w:rsid w:val="002B4BFE"/>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DB582E"/>
    <w:rPr>
      <w:rFonts w:ascii="Tahoma" w:hAnsi="Tahoma" w:cs="Tahoma"/>
      <w:sz w:val="16"/>
      <w:szCs w:val="16"/>
    </w:rPr>
  </w:style>
  <w:style w:type="character" w:customStyle="1" w:styleId="BalloonTextChar">
    <w:name w:val="Balloon Text Char"/>
    <w:basedOn w:val="DefaultParagraphFont"/>
    <w:link w:val="BalloonText"/>
    <w:uiPriority w:val="99"/>
    <w:semiHidden/>
    <w:rsid w:val="00DB582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447699154">
      <w:bodyDiv w:val="1"/>
      <w:marLeft w:val="0"/>
      <w:marRight w:val="0"/>
      <w:marTop w:val="0"/>
      <w:marBottom w:val="0"/>
      <w:divBdr>
        <w:top w:val="none" w:sz="0" w:space="0" w:color="auto"/>
        <w:left w:val="none" w:sz="0" w:space="0" w:color="auto"/>
        <w:bottom w:val="none" w:sz="0" w:space="0" w:color="auto"/>
        <w:right w:val="none" w:sz="0" w:space="0" w:color="auto"/>
      </w:divBdr>
      <w:divsChild>
        <w:div w:id="1544709363">
          <w:marLeft w:val="0"/>
          <w:marRight w:val="0"/>
          <w:marTop w:val="0"/>
          <w:marBottom w:val="0"/>
          <w:divBdr>
            <w:top w:val="none" w:sz="0" w:space="0" w:color="auto"/>
            <w:left w:val="none" w:sz="0" w:space="0" w:color="auto"/>
            <w:bottom w:val="none" w:sz="0" w:space="0" w:color="auto"/>
            <w:right w:val="none" w:sz="0" w:space="0" w:color="auto"/>
          </w:divBdr>
          <w:divsChild>
            <w:div w:id="1619408085">
              <w:marLeft w:val="0"/>
              <w:marRight w:val="0"/>
              <w:marTop w:val="0"/>
              <w:marBottom w:val="0"/>
              <w:divBdr>
                <w:top w:val="none" w:sz="0" w:space="0" w:color="auto"/>
                <w:left w:val="none" w:sz="0" w:space="0" w:color="auto"/>
                <w:bottom w:val="none" w:sz="0" w:space="0" w:color="auto"/>
                <w:right w:val="none" w:sz="0" w:space="0" w:color="auto"/>
              </w:divBdr>
              <w:divsChild>
                <w:div w:id="111673802">
                  <w:marLeft w:val="0"/>
                  <w:marRight w:val="0"/>
                  <w:marTop w:val="0"/>
                  <w:marBottom w:val="0"/>
                  <w:divBdr>
                    <w:top w:val="none" w:sz="0" w:space="0" w:color="auto"/>
                    <w:left w:val="none" w:sz="0" w:space="0" w:color="auto"/>
                    <w:bottom w:val="none" w:sz="0" w:space="0" w:color="auto"/>
                    <w:right w:val="none" w:sz="0" w:space="0" w:color="auto"/>
                  </w:divBdr>
                  <w:divsChild>
                    <w:div w:id="945425383">
                      <w:marLeft w:val="0"/>
                      <w:marRight w:val="0"/>
                      <w:marTop w:val="0"/>
                      <w:marBottom w:val="0"/>
                      <w:divBdr>
                        <w:top w:val="none" w:sz="0" w:space="0" w:color="auto"/>
                        <w:left w:val="none" w:sz="0" w:space="0" w:color="auto"/>
                        <w:bottom w:val="none" w:sz="0" w:space="0" w:color="auto"/>
                        <w:right w:val="none" w:sz="0" w:space="0" w:color="auto"/>
                      </w:divBdr>
                    </w:div>
                    <w:div w:id="903445770">
                      <w:marLeft w:val="0"/>
                      <w:marRight w:val="0"/>
                      <w:marTop w:val="0"/>
                      <w:marBottom w:val="0"/>
                      <w:divBdr>
                        <w:top w:val="none" w:sz="0" w:space="0" w:color="auto"/>
                        <w:left w:val="none" w:sz="0" w:space="0" w:color="auto"/>
                        <w:bottom w:val="none" w:sz="0" w:space="0" w:color="auto"/>
                        <w:right w:val="none" w:sz="0" w:space="0" w:color="auto"/>
                      </w:divBdr>
                    </w:div>
                    <w:div w:id="181827510">
                      <w:marLeft w:val="0"/>
                      <w:marRight w:val="0"/>
                      <w:marTop w:val="0"/>
                      <w:marBottom w:val="0"/>
                      <w:divBdr>
                        <w:top w:val="none" w:sz="0" w:space="0" w:color="auto"/>
                        <w:left w:val="none" w:sz="0" w:space="0" w:color="auto"/>
                        <w:bottom w:val="none" w:sz="0" w:space="0" w:color="auto"/>
                        <w:right w:val="none" w:sz="0" w:space="0" w:color="auto"/>
                      </w:divBdr>
                    </w:div>
                    <w:div w:id="1019235649">
                      <w:marLeft w:val="0"/>
                      <w:marRight w:val="0"/>
                      <w:marTop w:val="0"/>
                      <w:marBottom w:val="0"/>
                      <w:divBdr>
                        <w:top w:val="none" w:sz="0" w:space="0" w:color="auto"/>
                        <w:left w:val="none" w:sz="0" w:space="0" w:color="auto"/>
                        <w:bottom w:val="none" w:sz="0" w:space="0" w:color="auto"/>
                        <w:right w:val="none" w:sz="0" w:space="0" w:color="auto"/>
                      </w:divBdr>
                    </w:div>
                    <w:div w:id="1122765751">
                      <w:marLeft w:val="0"/>
                      <w:marRight w:val="0"/>
                      <w:marTop w:val="0"/>
                      <w:marBottom w:val="0"/>
                      <w:divBdr>
                        <w:top w:val="none" w:sz="0" w:space="0" w:color="auto"/>
                        <w:left w:val="none" w:sz="0" w:space="0" w:color="auto"/>
                        <w:bottom w:val="none" w:sz="0" w:space="0" w:color="auto"/>
                        <w:right w:val="none" w:sz="0" w:space="0" w:color="auto"/>
                      </w:divBdr>
                    </w:div>
                  </w:divsChild>
                </w:div>
                <w:div w:id="695615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en.wikipedia.org/wiki/Brain" TargetMode="Externa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Frontal_lobe" TargetMode="External"/><Relationship Id="rId8" Type="http://schemas.openxmlformats.org/officeDocument/2006/relationships/hyperlink" Target="http://en.wikipedia.org/wiki/Cognition" TargetMode="External"/><Relationship Id="rId13" Type="http://schemas.microsoft.com/office/2007/relationships/stylesWithEffects" Target="stylesWithEffects.xml"/><Relationship Id="rId10" Type="http://schemas.openxmlformats.org/officeDocument/2006/relationships/image" Target="media/image1.gif"/><Relationship Id="rId5" Type="http://schemas.openxmlformats.org/officeDocument/2006/relationships/hyperlink" Target="http://en.wikipedia.org/wiki/Prefrontal_cortex" TargetMode="External"/><Relationship Id="rId12"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en.wikipedia.org/wiki/Decision-mak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Word 12.1.0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Terms you might need to know for the final from the Baron-Cohen et al</vt:lpstr>
    </vt:vector>
  </TitlesOfParts>
  <Company>Amherst College</Company>
  <LinksUpToDate>false</LinksUpToDate>
  <CharactersWithSpaces>3411</CharactersWithSpaces>
  <SharedDoc>false</SharedDoc>
  <HLinks>
    <vt:vector size="30" baseType="variant">
      <vt:variant>
        <vt:i4>4587606</vt:i4>
      </vt:variant>
      <vt:variant>
        <vt:i4>12</vt:i4>
      </vt:variant>
      <vt:variant>
        <vt:i4>0</vt:i4>
      </vt:variant>
      <vt:variant>
        <vt:i4>5</vt:i4>
      </vt:variant>
      <vt:variant>
        <vt:lpwstr>http://en.wikipedia.org/wiki/Decision-making</vt:lpwstr>
      </vt:variant>
      <vt:variant>
        <vt:lpwstr/>
      </vt:variant>
      <vt:variant>
        <vt:i4>7667759</vt:i4>
      </vt:variant>
      <vt:variant>
        <vt:i4>9</vt:i4>
      </vt:variant>
      <vt:variant>
        <vt:i4>0</vt:i4>
      </vt:variant>
      <vt:variant>
        <vt:i4>5</vt:i4>
      </vt:variant>
      <vt:variant>
        <vt:lpwstr>http://en.wikipedia.org/wiki/Cognition</vt:lpwstr>
      </vt:variant>
      <vt:variant>
        <vt:lpwstr/>
      </vt:variant>
      <vt:variant>
        <vt:i4>7471150</vt:i4>
      </vt:variant>
      <vt:variant>
        <vt:i4>6</vt:i4>
      </vt:variant>
      <vt:variant>
        <vt:i4>0</vt:i4>
      </vt:variant>
      <vt:variant>
        <vt:i4>5</vt:i4>
      </vt:variant>
      <vt:variant>
        <vt:lpwstr>http://en.wikipedia.org/wiki/Brain</vt:lpwstr>
      </vt:variant>
      <vt:variant>
        <vt:lpwstr/>
      </vt:variant>
      <vt:variant>
        <vt:i4>120</vt:i4>
      </vt:variant>
      <vt:variant>
        <vt:i4>3</vt:i4>
      </vt:variant>
      <vt:variant>
        <vt:i4>0</vt:i4>
      </vt:variant>
      <vt:variant>
        <vt:i4>5</vt:i4>
      </vt:variant>
      <vt:variant>
        <vt:lpwstr>http://en.wikipedia.org/wiki/Frontal_lobe</vt:lpwstr>
      </vt:variant>
      <vt:variant>
        <vt:lpwstr/>
      </vt:variant>
      <vt:variant>
        <vt:i4>4915234</vt:i4>
      </vt:variant>
      <vt:variant>
        <vt:i4>0</vt:i4>
      </vt:variant>
      <vt:variant>
        <vt:i4>0</vt:i4>
      </vt:variant>
      <vt:variant>
        <vt:i4>5</vt:i4>
      </vt:variant>
      <vt:variant>
        <vt:lpwstr>http://en.wikipedia.org/wiki/Prefrontal_cortex</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you might need to know for the final from the Baron-Cohen et al</dc:title>
  <dc:creator>Lisa Raskin</dc:creator>
  <cp:lastModifiedBy>Luke Menard</cp:lastModifiedBy>
  <cp:revision>2</cp:revision>
  <cp:lastPrinted>2011-12-06T17:20:00Z</cp:lastPrinted>
  <dcterms:created xsi:type="dcterms:W3CDTF">2011-12-14T16:14:00Z</dcterms:created>
  <dcterms:modified xsi:type="dcterms:W3CDTF">2011-12-14T16:14:00Z</dcterms:modified>
</cp:coreProperties>
</file>